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C87E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Lisa </w:t>
      </w:r>
    </w:p>
    <w:p w14:paraId="5C0F6290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 xml:space="preserve">KINNITATUD </w:t>
      </w:r>
    </w:p>
    <w:p w14:paraId="55451184" w14:textId="77777777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SA Eesti Teadusagentuuri juhatuse ……</w:t>
      </w:r>
    </w:p>
    <w:p w14:paraId="55BDE1AC" w14:textId="1BAFECFA" w:rsidR="001437DC" w:rsidRPr="001F6AD6" w:rsidRDefault="001437DC" w:rsidP="001437DC">
      <w:pPr>
        <w:spacing w:after="0" w:line="240" w:lineRule="auto"/>
        <w:ind w:left="5664"/>
        <w:rPr>
          <w:rFonts w:asciiTheme="majorHAnsi" w:hAnsiTheme="majorHAnsi" w:cstheme="majorHAnsi"/>
        </w:rPr>
      </w:pPr>
      <w:r w:rsidRPr="001F6AD6">
        <w:rPr>
          <w:rFonts w:asciiTheme="majorHAnsi" w:hAnsiTheme="majorHAnsi" w:cstheme="majorHAnsi"/>
        </w:rPr>
        <w:t>käskkirjaga nr 1.1-4/2</w:t>
      </w:r>
      <w:r>
        <w:rPr>
          <w:rFonts w:asciiTheme="majorHAnsi" w:hAnsiTheme="majorHAnsi" w:cstheme="majorHAnsi"/>
        </w:rPr>
        <w:t>5</w:t>
      </w:r>
      <w:r w:rsidRPr="001F6AD6">
        <w:rPr>
          <w:rFonts w:asciiTheme="majorHAnsi" w:hAnsiTheme="majorHAnsi" w:cstheme="majorHAnsi"/>
        </w:rPr>
        <w:t>/…..</w:t>
      </w:r>
    </w:p>
    <w:p w14:paraId="0EF422B3" w14:textId="77777777" w:rsid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183D5C" w14:textId="77777777" w:rsidR="001437DC" w:rsidRPr="00C14FA9" w:rsidRDefault="001437DC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EAFF3B" w14:textId="4722EF96" w:rsidR="00C14FA9" w:rsidRDefault="008A1FAC" w:rsidP="00C14FA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M</w:t>
      </w:r>
      <w:r w:rsidR="007A1580" w:rsidRPr="00C14FA9">
        <w:rPr>
          <w:rFonts w:asciiTheme="majorHAnsi" w:hAnsiTheme="majorHAnsi" w:cstheme="majorHAnsi"/>
          <w:sz w:val="24"/>
          <w:szCs w:val="24"/>
        </w:rPr>
        <w:t>ajandus- ja infotehnoloogiaministri 26.06.2024 määrus</w:t>
      </w:r>
      <w:r w:rsidR="001437DC">
        <w:rPr>
          <w:rFonts w:asciiTheme="majorHAnsi" w:hAnsiTheme="majorHAnsi" w:cstheme="majorHAnsi"/>
          <w:sz w:val="24"/>
          <w:szCs w:val="24"/>
        </w:rPr>
        <w:t>e</w:t>
      </w:r>
      <w:r w:rsidR="007A1580" w:rsidRPr="00C14FA9">
        <w:rPr>
          <w:rFonts w:asciiTheme="majorHAnsi" w:hAnsiTheme="majorHAnsi" w:cstheme="majorHAnsi"/>
          <w:sz w:val="24"/>
          <w:szCs w:val="24"/>
        </w:rPr>
        <w:t xml:space="preserve"> nr 20 „Teadus- ja arendustegevuse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7A1580" w:rsidRPr="00C14FA9">
        <w:rPr>
          <w:rFonts w:asciiTheme="majorHAnsi" w:hAnsiTheme="majorHAnsi" w:cstheme="majorHAnsi"/>
          <w:sz w:val="24"/>
          <w:szCs w:val="24"/>
        </w:rPr>
        <w:t>toetuse andmise ja kasutamise tingimused ja kord“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 alusel</w:t>
      </w:r>
      <w:r w:rsidR="00C14FA9">
        <w:rPr>
          <w:rFonts w:asciiTheme="majorHAnsi" w:hAnsiTheme="majorHAnsi" w:cstheme="majorHAnsi"/>
          <w:sz w:val="24"/>
          <w:szCs w:val="24"/>
        </w:rPr>
        <w:t xml:space="preserve"> </w:t>
      </w:r>
      <w:r w:rsidR="00BA6755" w:rsidRPr="00C14FA9">
        <w:rPr>
          <w:rFonts w:asciiTheme="majorHAnsi" w:hAnsiTheme="majorHAnsi" w:cstheme="majorHAnsi"/>
          <w:sz w:val="24"/>
          <w:szCs w:val="24"/>
        </w:rPr>
        <w:t xml:space="preserve">loodava </w:t>
      </w:r>
    </w:p>
    <w:p w14:paraId="6020025D" w14:textId="2A733CAA" w:rsidR="00E777CE" w:rsidRPr="00C14FA9" w:rsidRDefault="00C14FA9" w:rsidP="00C14FA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teadus- ja arendustegevuse toetuse </w:t>
      </w:r>
      <w:r w:rsidR="00BA6755" w:rsidRPr="00C14FA9">
        <w:rPr>
          <w:rFonts w:asciiTheme="majorHAnsi" w:hAnsiTheme="majorHAnsi" w:cstheme="majorHAnsi"/>
          <w:b/>
          <w:bCs/>
          <w:sz w:val="24"/>
          <w:szCs w:val="24"/>
        </w:rPr>
        <w:t>komisjoni</w:t>
      </w:r>
      <w:r w:rsidRPr="00C14F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777CE" w:rsidRPr="00C14FA9">
        <w:rPr>
          <w:rFonts w:asciiTheme="majorHAnsi" w:hAnsiTheme="majorHAnsi" w:cstheme="majorHAnsi"/>
          <w:b/>
          <w:bCs/>
          <w:sz w:val="24"/>
          <w:szCs w:val="24"/>
        </w:rPr>
        <w:t>töökord</w:t>
      </w:r>
    </w:p>
    <w:p w14:paraId="4707A544" w14:textId="0BB3B80D" w:rsidR="00E777CE" w:rsidRPr="00C14FA9" w:rsidRDefault="00E777CE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18B6CE2" w14:textId="77777777" w:rsidR="00047C87" w:rsidRPr="00C14FA9" w:rsidRDefault="00047C87" w:rsidP="00C14FA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5C08BC" w14:textId="6F914A9D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Teadus- ja arendustegevuse toetuse komisjoni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komisjon</w:t>
      </w:r>
      <w:r w:rsidRPr="00C14FA9">
        <w:rPr>
          <w:rFonts w:asciiTheme="majorHAnsi" w:hAnsiTheme="majorHAnsi" w:cstheme="majorHAnsi"/>
          <w:sz w:val="24"/>
          <w:szCs w:val="24"/>
        </w:rPr>
        <w:t xml:space="preserve">) moodustab ja kutsub kokku </w:t>
      </w:r>
      <w:r w:rsidR="001A445E">
        <w:rPr>
          <w:rFonts w:asciiTheme="majorHAnsi" w:hAnsiTheme="majorHAnsi" w:cstheme="majorHAnsi"/>
          <w:sz w:val="24"/>
          <w:szCs w:val="24"/>
        </w:rPr>
        <w:t xml:space="preserve">SA Eesti Teadusagentuur (edaspidi: </w:t>
      </w:r>
      <w:r w:rsidRPr="00920004">
        <w:rPr>
          <w:rFonts w:asciiTheme="majorHAnsi" w:hAnsiTheme="majorHAnsi" w:cstheme="majorHAnsi"/>
          <w:i/>
          <w:iCs/>
          <w:sz w:val="24"/>
          <w:szCs w:val="24"/>
        </w:rPr>
        <w:t>ETAG</w:t>
      </w:r>
      <w:r w:rsidR="001A445E">
        <w:rPr>
          <w:rFonts w:asciiTheme="majorHAnsi" w:hAnsiTheme="majorHAnsi" w:cstheme="majorHAnsi"/>
          <w:sz w:val="24"/>
          <w:szCs w:val="24"/>
        </w:rPr>
        <w:t>)</w:t>
      </w:r>
      <w:r w:rsidRPr="00C14FA9">
        <w:rPr>
          <w:rFonts w:asciiTheme="majorHAnsi" w:hAnsiTheme="majorHAnsi" w:cstheme="majorHAnsi"/>
          <w:sz w:val="24"/>
          <w:szCs w:val="24"/>
        </w:rPr>
        <w:t xml:space="preserve">, kooskõlastades selle Majandus- ja </w:t>
      </w:r>
      <w:r w:rsidR="00920004">
        <w:rPr>
          <w:rFonts w:asciiTheme="majorHAnsi" w:hAnsiTheme="majorHAnsi" w:cstheme="majorHAnsi"/>
          <w:sz w:val="24"/>
          <w:szCs w:val="24"/>
        </w:rPr>
        <w:t>K</w:t>
      </w:r>
      <w:r w:rsidRPr="00C14FA9">
        <w:rPr>
          <w:rFonts w:asciiTheme="majorHAnsi" w:hAnsiTheme="majorHAnsi" w:cstheme="majorHAnsi"/>
          <w:sz w:val="24"/>
          <w:szCs w:val="24"/>
        </w:rPr>
        <w:t xml:space="preserve">ommunikatsiooniministeeriumiga (edaspidi: </w:t>
      </w:r>
      <w:r w:rsidRPr="00C14FA9">
        <w:rPr>
          <w:rFonts w:asciiTheme="majorHAnsi" w:hAnsiTheme="majorHAnsi" w:cstheme="majorHAnsi"/>
          <w:i/>
          <w:iCs/>
          <w:sz w:val="24"/>
          <w:szCs w:val="24"/>
        </w:rPr>
        <w:t>ministeerium</w:t>
      </w:r>
      <w:r w:rsidRPr="00C14FA9">
        <w:rPr>
          <w:rFonts w:asciiTheme="majorHAnsi" w:hAnsiTheme="majorHAnsi" w:cstheme="majorHAnsi"/>
          <w:sz w:val="24"/>
          <w:szCs w:val="24"/>
        </w:rPr>
        <w:t>).</w:t>
      </w:r>
    </w:p>
    <w:p w14:paraId="64C7BE68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DE078C4" w14:textId="15160E3F" w:rsidR="00E777CE" w:rsidRPr="00C14FA9" w:rsidRDefault="00E777CE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Komisjoni liikmeteks 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 xml:space="preserve">on </w:t>
      </w:r>
      <w:r w:rsidRPr="00C14F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>kuni kaheksa ministeeriumi esindajat</w:t>
      </w:r>
      <w:r w:rsidR="001A445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>, ETAGi esindaja</w:t>
      </w:r>
      <w:r w:rsidR="00B4481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 xml:space="preserve"> (hääleõiguseta)</w:t>
      </w:r>
      <w:r w:rsidRPr="00C14FA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t-EE"/>
        </w:rPr>
        <w:t xml:space="preserve"> ja kolm valdkondlikku eksperti</w:t>
      </w: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.</w:t>
      </w:r>
    </w:p>
    <w:p w14:paraId="75C592D7" w14:textId="06CB85D4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CC6A8" w14:textId="14272AED" w:rsidR="214801A5" w:rsidRPr="00C14FA9" w:rsidRDefault="214801A5" w:rsidP="00C14FA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  <w:r w:rsidRPr="00920004">
        <w:rPr>
          <w:rFonts w:asciiTheme="majorHAnsi" w:hAnsiTheme="majorHAnsi" w:cstheme="majorHAnsi"/>
          <w:color w:val="1F1F1F"/>
          <w:sz w:val="24"/>
          <w:szCs w:val="24"/>
        </w:rPr>
        <w:t>ETAG</w:t>
      </w:r>
      <w:r w:rsidRPr="00C14FA9">
        <w:rPr>
          <w:rFonts w:asciiTheme="majorHAnsi" w:hAnsiTheme="majorHAnsi" w:cstheme="majorHAnsi"/>
          <w:color w:val="1F1F1F"/>
          <w:sz w:val="24"/>
          <w:szCs w:val="24"/>
        </w:rPr>
        <w:t xml:space="preserve"> tagab komisjoni tehnilise teenindamise, s.h valmistab ette hindamiseks vajalikud materjalid, sõlmib komisjoni liikmetega lepingud ja konfidentsiaalsuse deklaratsioonid</w:t>
      </w:r>
      <w:r w:rsidR="00920004">
        <w:rPr>
          <w:rFonts w:asciiTheme="majorHAnsi" w:hAnsiTheme="majorHAnsi" w:cstheme="majorHAnsi"/>
          <w:color w:val="1F1F1F"/>
          <w:sz w:val="24"/>
          <w:szCs w:val="24"/>
        </w:rPr>
        <w:t>,</w:t>
      </w:r>
      <w:r w:rsidRPr="00C14FA9">
        <w:rPr>
          <w:rFonts w:asciiTheme="majorHAnsi" w:hAnsiTheme="majorHAnsi" w:cstheme="majorHAnsi"/>
          <w:color w:val="1F1F1F"/>
          <w:sz w:val="24"/>
          <w:szCs w:val="24"/>
        </w:rPr>
        <w:t xml:space="preserve"> kontrollib huvide konflikti puudumist ja protokollib koosolekud.</w:t>
      </w:r>
    </w:p>
    <w:p w14:paraId="2060A2C4" w14:textId="05F93F5F" w:rsidR="1616D0A2" w:rsidRPr="00C14FA9" w:rsidRDefault="1616D0A2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color w:val="1F1F1F"/>
          <w:sz w:val="24"/>
          <w:szCs w:val="24"/>
        </w:rPr>
      </w:pPr>
    </w:p>
    <w:p w14:paraId="1F152C70" w14:textId="76ECCEE5" w:rsidR="214801A5" w:rsidRPr="00C14FA9" w:rsidRDefault="214801A5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ETAG teeb komisjoni ekspertide retsensioonidest kokkuvõtte (koondretsensiooni).</w:t>
      </w:r>
    </w:p>
    <w:p w14:paraId="0785E101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768D9A1B" w14:textId="006B543E" w:rsidR="00A53986" w:rsidRPr="00A53986" w:rsidRDefault="00E777CE" w:rsidP="00A539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tööd juhib komisjoni esimees, kes valitakse esimesel koosolekul.</w:t>
      </w:r>
      <w:r w:rsidR="006F3442">
        <w:rPr>
          <w:rFonts w:asciiTheme="majorHAnsi" w:hAnsiTheme="majorHAnsi" w:cstheme="majorHAnsi"/>
          <w:sz w:val="24"/>
          <w:szCs w:val="24"/>
        </w:rPr>
        <w:t xml:space="preserve"> </w:t>
      </w:r>
      <w:r w:rsidR="006F3442" w:rsidRPr="00C14FA9">
        <w:rPr>
          <w:rFonts w:asciiTheme="majorHAnsi" w:hAnsiTheme="majorHAnsi" w:cstheme="majorHAnsi"/>
          <w:sz w:val="24"/>
          <w:szCs w:val="24"/>
        </w:rPr>
        <w:t>Komisjoni esimehe äraolekul juhib komisjoni tööd esimehe poolt määratud komisjoni liige.</w:t>
      </w:r>
    </w:p>
    <w:p w14:paraId="124EDD54" w14:textId="77777777" w:rsidR="00A53986" w:rsidRPr="00A53986" w:rsidRDefault="00A53986" w:rsidP="00A53986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E629759" w14:textId="531D278C" w:rsidR="00E777CE" w:rsidRPr="00A53986" w:rsidRDefault="00E777CE" w:rsidP="00A539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koosolekule võib kaasata hääleõiguseta teadlasi, spetsialiste või ametnikke vastavalt vajadusele.</w:t>
      </w:r>
    </w:p>
    <w:p w14:paraId="56FEAD1C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23945338" w14:textId="2B16E5ED" w:rsidR="00E777CE" w:rsidRPr="00EF093A" w:rsidRDefault="00E777CE" w:rsidP="00EF093A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F093A">
        <w:rPr>
          <w:rFonts w:asciiTheme="majorHAnsi" w:hAnsiTheme="majorHAnsi" w:cstheme="majorHAnsi"/>
          <w:sz w:val="24"/>
          <w:szCs w:val="24"/>
        </w:rPr>
        <w:t>Komisjoni töövorm on koosolek.</w:t>
      </w:r>
      <w:r w:rsidR="00EF093A" w:rsidRPr="00EF093A">
        <w:rPr>
          <w:rFonts w:asciiTheme="majorHAnsi" w:hAnsiTheme="majorHAnsi" w:cstheme="majorHAnsi"/>
          <w:sz w:val="24"/>
          <w:szCs w:val="24"/>
        </w:rPr>
        <w:t xml:space="preserve"> </w:t>
      </w:r>
      <w:r w:rsidRPr="00EF093A">
        <w:rPr>
          <w:rFonts w:asciiTheme="majorHAnsi" w:hAnsiTheme="majorHAnsi" w:cstheme="majorHAnsi"/>
          <w:sz w:val="24"/>
          <w:szCs w:val="24"/>
        </w:rPr>
        <w:t>Koosolek toimub vastavalt vajadusele.</w:t>
      </w:r>
    </w:p>
    <w:p w14:paraId="1E121814" w14:textId="77777777" w:rsidR="00B95580" w:rsidRPr="00B95580" w:rsidRDefault="00B95580" w:rsidP="00B95580">
      <w:pPr>
        <w:pStyle w:val="Loendilik"/>
        <w:rPr>
          <w:rFonts w:asciiTheme="majorHAnsi" w:hAnsiTheme="majorHAnsi" w:cstheme="majorHAnsi"/>
          <w:sz w:val="24"/>
          <w:szCs w:val="24"/>
        </w:rPr>
      </w:pPr>
    </w:p>
    <w:p w14:paraId="411D59FD" w14:textId="4095EBEC" w:rsidR="00B95580" w:rsidRPr="00A53986" w:rsidRDefault="00B95580" w:rsidP="00B95580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koosolekud toimuvad kas füüsiliselt või videosilla vahendusel. Komisjoni koosolek võib toimuda kirjaliku protseduurina elektroonilise koosoleku (edaspidi e-koosoleku) vormis.</w:t>
      </w:r>
    </w:p>
    <w:p w14:paraId="0C495ED1" w14:textId="77777777" w:rsidR="00E777CE" w:rsidRPr="00C14FA9" w:rsidRDefault="00E777CE" w:rsidP="00C14FA9">
      <w:pPr>
        <w:pStyle w:val="Loendilik"/>
        <w:jc w:val="both"/>
        <w:rPr>
          <w:rFonts w:asciiTheme="majorHAnsi" w:hAnsiTheme="majorHAnsi" w:cstheme="majorHAnsi"/>
          <w:sz w:val="24"/>
          <w:szCs w:val="24"/>
        </w:rPr>
      </w:pPr>
    </w:p>
    <w:p w14:paraId="76D88911" w14:textId="5B58C2A5" w:rsidR="00E777CE" w:rsidRPr="00A53986" w:rsidRDefault="001022AB" w:rsidP="00A539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Füüsilise või videosilla vahendusel toimuva k</w:t>
      </w:r>
      <w:r w:rsidR="00E777CE" w:rsidRPr="00253D48">
        <w:rPr>
          <w:rFonts w:asciiTheme="majorHAnsi" w:hAnsiTheme="majorHAnsi" w:cstheme="majorHAnsi"/>
          <w:sz w:val="24"/>
          <w:szCs w:val="24"/>
        </w:rPr>
        <w:t xml:space="preserve">oosoleku kutsub kokku </w:t>
      </w:r>
      <w:r w:rsidR="00745514">
        <w:rPr>
          <w:rFonts w:asciiTheme="majorHAnsi" w:hAnsiTheme="majorHAnsi" w:cstheme="majorHAnsi"/>
          <w:sz w:val="24"/>
          <w:szCs w:val="24"/>
        </w:rPr>
        <w:t xml:space="preserve">ETAG </w:t>
      </w:r>
      <w:r w:rsidR="00E777CE" w:rsidRPr="00253D48">
        <w:rPr>
          <w:rFonts w:asciiTheme="majorHAnsi" w:hAnsiTheme="majorHAnsi" w:cstheme="majorHAnsi"/>
          <w:sz w:val="24"/>
          <w:szCs w:val="24"/>
        </w:rPr>
        <w:t>komisjoni esime</w:t>
      </w:r>
      <w:r w:rsidR="00745514">
        <w:rPr>
          <w:rFonts w:asciiTheme="majorHAnsi" w:hAnsiTheme="majorHAnsi" w:cstheme="majorHAnsi"/>
          <w:sz w:val="24"/>
          <w:szCs w:val="24"/>
        </w:rPr>
        <w:t xml:space="preserve">he volitusel, </w:t>
      </w:r>
      <w:r w:rsidR="00E777CE" w:rsidRPr="00253D48">
        <w:rPr>
          <w:rFonts w:asciiTheme="majorHAnsi" w:hAnsiTheme="majorHAnsi" w:cstheme="majorHAnsi"/>
          <w:sz w:val="24"/>
          <w:szCs w:val="24"/>
        </w:rPr>
        <w:t xml:space="preserve">tehes </w:t>
      </w:r>
      <w:r>
        <w:rPr>
          <w:rFonts w:asciiTheme="majorHAnsi" w:hAnsiTheme="majorHAnsi" w:cstheme="majorHAnsi"/>
          <w:sz w:val="24"/>
          <w:szCs w:val="24"/>
        </w:rPr>
        <w:t>kirjalikku taasesitamist võimalda</w:t>
      </w:r>
      <w:r w:rsidR="00D54470">
        <w:rPr>
          <w:rFonts w:asciiTheme="majorHAnsi" w:hAnsiTheme="majorHAnsi" w:cstheme="majorHAnsi"/>
          <w:sz w:val="24"/>
          <w:szCs w:val="24"/>
        </w:rPr>
        <w:t>v</w:t>
      </w:r>
      <w:r>
        <w:rPr>
          <w:rFonts w:asciiTheme="majorHAnsi" w:hAnsiTheme="majorHAnsi" w:cstheme="majorHAnsi"/>
          <w:sz w:val="24"/>
          <w:szCs w:val="24"/>
        </w:rPr>
        <w:t xml:space="preserve">as vormis </w:t>
      </w:r>
      <w:r w:rsidR="00E777CE" w:rsidRPr="00253D48">
        <w:rPr>
          <w:rFonts w:asciiTheme="majorHAnsi" w:hAnsiTheme="majorHAnsi" w:cstheme="majorHAnsi"/>
          <w:sz w:val="24"/>
          <w:szCs w:val="24"/>
        </w:rPr>
        <w:t>teatavaks koosoleku aja, koha ja</w:t>
      </w:r>
      <w:r w:rsidR="00C14FA9" w:rsidRPr="00253D48">
        <w:rPr>
          <w:rFonts w:asciiTheme="majorHAnsi" w:hAnsiTheme="majorHAnsi" w:cstheme="majorHAnsi"/>
          <w:sz w:val="24"/>
          <w:szCs w:val="24"/>
        </w:rPr>
        <w:t xml:space="preserve"> </w:t>
      </w:r>
      <w:r w:rsidR="00E777CE" w:rsidRPr="00253D48">
        <w:rPr>
          <w:rFonts w:asciiTheme="majorHAnsi" w:hAnsiTheme="majorHAnsi" w:cstheme="majorHAnsi"/>
          <w:sz w:val="24"/>
          <w:szCs w:val="24"/>
        </w:rPr>
        <w:t>esialgse päevakorra</w:t>
      </w:r>
      <w:r w:rsidR="00010EB7">
        <w:rPr>
          <w:rFonts w:asciiTheme="majorHAnsi" w:hAnsiTheme="majorHAnsi" w:cstheme="majorHAnsi"/>
          <w:sz w:val="24"/>
          <w:szCs w:val="24"/>
        </w:rPr>
        <w:t xml:space="preserve"> ning otsustamiseks vajalikud dokumendid</w:t>
      </w:r>
      <w:r w:rsidR="00E777CE" w:rsidRPr="00253D48">
        <w:rPr>
          <w:rFonts w:asciiTheme="majorHAnsi" w:hAnsiTheme="majorHAnsi" w:cstheme="majorHAnsi"/>
          <w:sz w:val="24"/>
          <w:szCs w:val="24"/>
        </w:rPr>
        <w:t>. Komisjoni liikmetele koosolekust etteteatamise minimaalne aeg on viis tööpäeva.</w:t>
      </w:r>
    </w:p>
    <w:p w14:paraId="6C0F4C48" w14:textId="77777777" w:rsidR="00E777CE" w:rsidRPr="00C14FA9" w:rsidRDefault="00E777CE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9D37C0C" w14:textId="40F3C329" w:rsidR="007F622B" w:rsidRDefault="007F622B" w:rsidP="0022222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3D48">
        <w:rPr>
          <w:rFonts w:asciiTheme="majorHAnsi" w:hAnsiTheme="majorHAnsi" w:cstheme="majorHAnsi"/>
          <w:sz w:val="24"/>
          <w:szCs w:val="24"/>
        </w:rPr>
        <w:t xml:space="preserve">E-koosoleku puhul esitab </w:t>
      </w:r>
      <w:r w:rsidR="00745514">
        <w:rPr>
          <w:rFonts w:asciiTheme="majorHAnsi" w:hAnsiTheme="majorHAnsi" w:cstheme="majorHAnsi"/>
          <w:sz w:val="24"/>
          <w:szCs w:val="24"/>
        </w:rPr>
        <w:t>ETAG komisjoni esimehe volitusel ko</w:t>
      </w:r>
      <w:r w:rsidRPr="00253D48">
        <w:rPr>
          <w:rFonts w:asciiTheme="majorHAnsi" w:hAnsiTheme="majorHAnsi" w:cstheme="majorHAnsi"/>
          <w:sz w:val="24"/>
          <w:szCs w:val="24"/>
        </w:rPr>
        <w:t>misjoni liikmetele materjalid ja otsuste eelnõud kirjalikku taasesitamist võimaldavas vormis.</w:t>
      </w:r>
      <w:r>
        <w:rPr>
          <w:rFonts w:asciiTheme="majorHAnsi" w:hAnsiTheme="majorHAnsi" w:cstheme="majorHAnsi"/>
          <w:sz w:val="24"/>
          <w:szCs w:val="24"/>
        </w:rPr>
        <w:t xml:space="preserve"> K</w:t>
      </w:r>
      <w:r w:rsidRPr="00C14FA9">
        <w:rPr>
          <w:rFonts w:asciiTheme="majorHAnsi" w:hAnsiTheme="majorHAnsi" w:cstheme="majorHAnsi"/>
          <w:sz w:val="24"/>
          <w:szCs w:val="24"/>
        </w:rPr>
        <w:t xml:space="preserve">omisjoni liikmed </w:t>
      </w:r>
      <w:r>
        <w:rPr>
          <w:rFonts w:asciiTheme="majorHAnsi" w:hAnsiTheme="majorHAnsi" w:cstheme="majorHAnsi"/>
          <w:sz w:val="24"/>
          <w:szCs w:val="24"/>
        </w:rPr>
        <w:t xml:space="preserve">teatavad </w:t>
      </w:r>
      <w:r w:rsidRPr="00C14FA9">
        <w:rPr>
          <w:rFonts w:asciiTheme="majorHAnsi" w:hAnsiTheme="majorHAnsi" w:cstheme="majorHAnsi"/>
          <w:sz w:val="24"/>
          <w:szCs w:val="24"/>
        </w:rPr>
        <w:t>otsuse eelnõuga nõustumisest või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14FA9">
        <w:rPr>
          <w:rFonts w:asciiTheme="majorHAnsi" w:hAnsiTheme="majorHAnsi" w:cstheme="majorHAnsi"/>
          <w:sz w:val="24"/>
          <w:szCs w:val="24"/>
        </w:rPr>
        <w:t xml:space="preserve">mittenõustumisest </w:t>
      </w:r>
      <w:r w:rsidR="001F6D75" w:rsidRPr="00C14FA9">
        <w:rPr>
          <w:rFonts w:asciiTheme="majorHAnsi" w:hAnsiTheme="majorHAnsi" w:cstheme="majorHAnsi"/>
          <w:sz w:val="24"/>
          <w:szCs w:val="24"/>
        </w:rPr>
        <w:t xml:space="preserve">kirjalikult </w:t>
      </w:r>
      <w:r w:rsidR="00FE256E">
        <w:rPr>
          <w:rFonts w:asciiTheme="majorHAnsi" w:hAnsiTheme="majorHAnsi" w:cstheme="majorHAnsi"/>
          <w:sz w:val="24"/>
          <w:szCs w:val="24"/>
        </w:rPr>
        <w:t>vii</w:t>
      </w:r>
      <w:r w:rsidR="00E1504C">
        <w:rPr>
          <w:rFonts w:asciiTheme="majorHAnsi" w:hAnsiTheme="majorHAnsi" w:cstheme="majorHAnsi"/>
          <w:sz w:val="24"/>
          <w:szCs w:val="24"/>
        </w:rPr>
        <w:t>e</w:t>
      </w:r>
      <w:r w:rsidRPr="00C14FA9">
        <w:rPr>
          <w:rFonts w:asciiTheme="majorHAnsi" w:hAnsiTheme="majorHAnsi" w:cstheme="majorHAnsi"/>
          <w:sz w:val="24"/>
          <w:szCs w:val="24"/>
        </w:rPr>
        <w:t xml:space="preserve"> tööpäeva jooksul alates dokumentide</w:t>
      </w:r>
      <w:r w:rsidR="00C02ACF">
        <w:rPr>
          <w:rFonts w:asciiTheme="majorHAnsi" w:hAnsiTheme="majorHAnsi" w:cstheme="majorHAnsi"/>
          <w:sz w:val="24"/>
          <w:szCs w:val="24"/>
        </w:rPr>
        <w:t xml:space="preserve"> esitamise</w:t>
      </w:r>
      <w:r w:rsidRPr="00C14FA9">
        <w:rPr>
          <w:rFonts w:asciiTheme="majorHAnsi" w:hAnsiTheme="majorHAnsi" w:cstheme="majorHAnsi"/>
          <w:sz w:val="24"/>
          <w:szCs w:val="24"/>
        </w:rPr>
        <w:t xml:space="preserve"> kuupäevast.</w:t>
      </w:r>
    </w:p>
    <w:p w14:paraId="314AB08D" w14:textId="77777777" w:rsidR="007F622B" w:rsidRPr="00E10E43" w:rsidRDefault="007F622B" w:rsidP="00E10E43">
      <w:pPr>
        <w:pStyle w:val="Loendilik"/>
        <w:rPr>
          <w:rFonts w:asciiTheme="majorHAnsi" w:hAnsiTheme="majorHAnsi" w:cstheme="majorHAnsi"/>
          <w:sz w:val="24"/>
          <w:szCs w:val="24"/>
        </w:rPr>
      </w:pPr>
    </w:p>
    <w:p w14:paraId="75386A2A" w14:textId="7A0FD81F" w:rsidR="00222226" w:rsidRDefault="00E777CE" w:rsidP="0022222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t xml:space="preserve">Komisjon on otsustuspädev, kui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koosolekul osaleb</w:t>
      </w:r>
      <w:r w:rsidR="001F6D75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või </w:t>
      </w:r>
      <w:r w:rsidR="00F636CE">
        <w:rPr>
          <w:rFonts w:asciiTheme="majorHAnsi" w:eastAsia="Times New Roman" w:hAnsiTheme="majorHAnsi" w:cstheme="majorHAnsi"/>
          <w:color w:val="000000"/>
          <w:sz w:val="24"/>
          <w:szCs w:val="24"/>
        </w:rPr>
        <w:t>e-koosolekul hääletab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vähemalt 60% komisjoni liikmetest</w:t>
      </w:r>
      <w:r w:rsidRPr="00C14FA9">
        <w:rPr>
          <w:rFonts w:asciiTheme="majorHAnsi" w:hAnsiTheme="majorHAnsi" w:cstheme="majorHAnsi"/>
          <w:sz w:val="24"/>
          <w:szCs w:val="24"/>
        </w:rPr>
        <w:t xml:space="preserve">. </w:t>
      </w:r>
      <w:r w:rsidR="00222226" w:rsidRPr="00C14FA9">
        <w:rPr>
          <w:rFonts w:asciiTheme="majorHAnsi" w:hAnsiTheme="majorHAnsi" w:cstheme="majorHAnsi"/>
          <w:sz w:val="24"/>
          <w:szCs w:val="24"/>
        </w:rPr>
        <w:t>Hindamiskoosolek</w:t>
      </w:r>
      <w:r w:rsidR="00F636CE">
        <w:rPr>
          <w:rFonts w:asciiTheme="majorHAnsi" w:hAnsiTheme="majorHAnsi" w:cstheme="majorHAnsi"/>
          <w:sz w:val="24"/>
          <w:szCs w:val="24"/>
        </w:rPr>
        <w:t xml:space="preserve"> toimub füüsiliselt või videosilla vahendusel ja sellel</w:t>
      </w:r>
      <w:r w:rsidR="00222226" w:rsidRPr="00C14FA9">
        <w:rPr>
          <w:rFonts w:asciiTheme="majorHAnsi" w:hAnsiTheme="majorHAnsi" w:cstheme="majorHAnsi"/>
          <w:sz w:val="24"/>
          <w:szCs w:val="24"/>
        </w:rPr>
        <w:t xml:space="preserve"> osalemist pole lubatud asendada kirjaliku arvamuse avaldamise või muu kirjaliku menetlusprotsessiga.</w:t>
      </w:r>
    </w:p>
    <w:p w14:paraId="77E3B00A" w14:textId="77777777" w:rsidR="008B2ECF" w:rsidRPr="00C14FA9" w:rsidRDefault="008B2ECF" w:rsidP="008B2ECF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C736DA" w14:textId="75A4E407" w:rsidR="00C14FA9" w:rsidRPr="00A53986" w:rsidRDefault="00E777CE" w:rsidP="00A539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4FA9">
        <w:rPr>
          <w:rFonts w:asciiTheme="majorHAnsi" w:hAnsiTheme="majorHAnsi" w:cstheme="majorHAnsi"/>
          <w:sz w:val="24"/>
          <w:szCs w:val="24"/>
        </w:rPr>
        <w:lastRenderedPageBreak/>
        <w:t xml:space="preserve">Otsused võetakse vastu konsensuslikult. 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Juhul, kui konsensust ei saavutata, tehakse otsused lihthäälte enamusega ning häälte võrdse jagunemise puhul </w:t>
      </w:r>
      <w:r w:rsidR="00EF093A">
        <w:rPr>
          <w:rFonts w:asciiTheme="majorHAnsi" w:eastAsia="Times New Roman" w:hAnsiTheme="majorHAnsi" w:cstheme="majorHAnsi"/>
          <w:color w:val="000000"/>
          <w:sz w:val="24"/>
          <w:szCs w:val="24"/>
        </w:rPr>
        <w:t>heidetakse liisku</w:t>
      </w:r>
      <w:r w:rsidRPr="00C14FA9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14:paraId="0D3AF37E" w14:textId="77777777" w:rsidR="00C14FA9" w:rsidRPr="00C14FA9" w:rsidRDefault="00C14FA9" w:rsidP="00C14FA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E8CE5F1" w14:textId="18839B14" w:rsidR="00E777CE" w:rsidRPr="00A53986" w:rsidRDefault="00E777CE" w:rsidP="00A539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4B73">
        <w:rPr>
          <w:rFonts w:asciiTheme="majorHAnsi" w:hAnsiTheme="majorHAnsi" w:cstheme="majorHAnsi"/>
          <w:sz w:val="24"/>
          <w:szCs w:val="24"/>
        </w:rPr>
        <w:t>Komisjoni koosoleku protokoll</w:t>
      </w:r>
      <w:r w:rsidR="0E307BBD" w:rsidRPr="00B34B73">
        <w:rPr>
          <w:rFonts w:asciiTheme="majorHAnsi" w:hAnsiTheme="majorHAnsi" w:cstheme="majorHAnsi"/>
          <w:sz w:val="24"/>
          <w:szCs w:val="24"/>
        </w:rPr>
        <w:t>, sh e-koosoleku protokoll,</w:t>
      </w:r>
      <w:r w:rsidRPr="00B34B73">
        <w:rPr>
          <w:rFonts w:asciiTheme="majorHAnsi" w:hAnsiTheme="majorHAnsi" w:cstheme="majorHAnsi"/>
          <w:sz w:val="24"/>
          <w:szCs w:val="24"/>
        </w:rPr>
        <w:t xml:space="preserve"> esitatakse komisjoni liikmetele hiljemalt seitsme tööpäeva jooksul pärast koosoleku toimumist. Komisjoni liikmetel on õigus teha </w:t>
      </w:r>
      <w:r w:rsidR="00222226">
        <w:rPr>
          <w:rFonts w:asciiTheme="majorHAnsi" w:hAnsiTheme="majorHAnsi" w:cstheme="majorHAnsi"/>
          <w:sz w:val="24"/>
          <w:szCs w:val="24"/>
        </w:rPr>
        <w:t>protokolli</w:t>
      </w:r>
      <w:r w:rsidRPr="00B34B73">
        <w:rPr>
          <w:rFonts w:asciiTheme="majorHAnsi" w:hAnsiTheme="majorHAnsi" w:cstheme="majorHAnsi"/>
          <w:sz w:val="24"/>
          <w:szCs w:val="24"/>
        </w:rPr>
        <w:t xml:space="preserve"> parandusi ja täiendusi, </w:t>
      </w:r>
      <w:r w:rsidR="009B7D61">
        <w:rPr>
          <w:rFonts w:asciiTheme="majorHAnsi" w:hAnsiTheme="majorHAnsi" w:cstheme="majorHAnsi"/>
          <w:sz w:val="24"/>
          <w:szCs w:val="24"/>
        </w:rPr>
        <w:t>mille</w:t>
      </w:r>
      <w:r w:rsidR="00222226">
        <w:rPr>
          <w:rFonts w:asciiTheme="majorHAnsi" w:hAnsiTheme="majorHAnsi" w:cstheme="majorHAnsi"/>
          <w:sz w:val="24"/>
          <w:szCs w:val="24"/>
        </w:rPr>
        <w:t xml:space="preserve"> täht</w:t>
      </w:r>
      <w:r w:rsidRPr="00B34B73">
        <w:rPr>
          <w:rFonts w:asciiTheme="majorHAnsi" w:hAnsiTheme="majorHAnsi" w:cstheme="majorHAnsi"/>
          <w:sz w:val="24"/>
          <w:szCs w:val="24"/>
        </w:rPr>
        <w:t>aja otsustab komisjoni esimees.</w:t>
      </w:r>
      <w:r w:rsidR="000C18D6">
        <w:rPr>
          <w:rFonts w:asciiTheme="majorHAnsi" w:hAnsiTheme="majorHAnsi" w:cstheme="majorHAnsi"/>
          <w:sz w:val="24"/>
          <w:szCs w:val="24"/>
        </w:rPr>
        <w:t xml:space="preserve"> </w:t>
      </w:r>
      <w:r w:rsidR="000C18D6" w:rsidRPr="00B34B73">
        <w:rPr>
          <w:rFonts w:asciiTheme="majorHAnsi" w:hAnsiTheme="majorHAnsi" w:cstheme="majorHAnsi"/>
          <w:sz w:val="24"/>
          <w:szCs w:val="24"/>
        </w:rPr>
        <w:t>Koosoleku protokolli allkirjastavad komisjoni juht ja protokollija.</w:t>
      </w:r>
    </w:p>
    <w:p w14:paraId="014756F8" w14:textId="77777777" w:rsidR="00047C87" w:rsidRPr="00C14FA9" w:rsidRDefault="00047C87" w:rsidP="00C14FA9">
      <w:pPr>
        <w:pStyle w:val="Loendilik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32792D" w14:textId="053C8198" w:rsidR="00E777CE" w:rsidRPr="00C14FA9" w:rsidRDefault="00E777CE" w:rsidP="00C14FA9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hAnsiTheme="majorHAnsi" w:cstheme="majorHAnsi"/>
          <w:sz w:val="24"/>
          <w:szCs w:val="24"/>
        </w:rPr>
        <w:t>Komisjoni ülesanded on:</w:t>
      </w:r>
    </w:p>
    <w:p w14:paraId="3D5F9521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nõustada strateegiliste uurimissuundade ja nende alla kuuluvate uurimisküsimuste püstitamist ning tegevuste ajakava ja eelarve koostamist;</w:t>
      </w:r>
    </w:p>
    <w:p w14:paraId="16E8EE67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 elluviimise tulemuslikkust ning anda toetuse saajale, ETAGile ja ministeeriumile soovitusi edasisteks tegevusteks;</w:t>
      </w:r>
    </w:p>
    <w:p w14:paraId="010EAFFA" w14:textId="77777777" w:rsidR="00E777CE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taotlusi;</w:t>
      </w:r>
    </w:p>
    <w:p w14:paraId="631464AF" w14:textId="0F6919A4" w:rsidR="00B73CFA" w:rsidRPr="00C14FA9" w:rsidRDefault="00B73CFA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 xml:space="preserve">teha </w:t>
      </w:r>
      <w:r w:rsidRPr="00B73CFA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ETAGile ettepanek taotlus</w:t>
      </w:r>
      <w:r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t</w:t>
      </w:r>
      <w:r w:rsidRPr="00B73CFA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e rahuldamiseks või rahuldamata jätmiseks</w:t>
      </w:r>
      <w:r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, vajadusel lisatingimuste seadmiseks;</w:t>
      </w:r>
    </w:p>
    <w:p w14:paraId="2B81B308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hinnata projektide vahe- ja lõpptulemusi;</w:t>
      </w:r>
    </w:p>
    <w:p w14:paraId="29BE1000" w14:textId="77777777" w:rsidR="00E777CE" w:rsidRPr="00C14FA9" w:rsidRDefault="00E777CE" w:rsidP="00C14FA9">
      <w:pPr>
        <w:pStyle w:val="Loendilik"/>
        <w:numPr>
          <w:ilvl w:val="1"/>
          <w:numId w:val="1"/>
        </w:numPr>
        <w:shd w:val="clear" w:color="auto" w:fill="FFFFFF"/>
        <w:spacing w:after="0" w:line="240" w:lineRule="auto"/>
        <w:ind w:left="993" w:hanging="284"/>
        <w:jc w:val="both"/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</w:pPr>
      <w:r w:rsidRPr="00C14FA9">
        <w:rPr>
          <w:rFonts w:asciiTheme="majorHAnsi" w:eastAsia="Times New Roman" w:hAnsiTheme="majorHAnsi" w:cstheme="majorHAnsi"/>
          <w:color w:val="202020"/>
          <w:sz w:val="24"/>
          <w:szCs w:val="24"/>
          <w:lang w:eastAsia="et-EE"/>
        </w:rPr>
        <w:t>teha ETAGile ettepanek toetuse maksmise lõpetamiseks.</w:t>
      </w:r>
    </w:p>
    <w:p w14:paraId="7B78AA06" w14:textId="77777777" w:rsidR="00E777CE" w:rsidRPr="00C14FA9" w:rsidRDefault="00E777CE" w:rsidP="00C14FA9">
      <w:pPr>
        <w:pStyle w:val="Default"/>
        <w:ind w:left="723"/>
        <w:jc w:val="both"/>
        <w:rPr>
          <w:rFonts w:asciiTheme="majorHAnsi" w:hAnsiTheme="majorHAnsi" w:cstheme="majorHAnsi"/>
        </w:rPr>
      </w:pPr>
    </w:p>
    <w:p w14:paraId="5F1F9E74" w14:textId="3827FB8E" w:rsidR="00E777CE" w:rsidRPr="00C14FA9" w:rsidRDefault="00E777CE" w:rsidP="00C14FA9">
      <w:pPr>
        <w:pStyle w:val="Default"/>
        <w:numPr>
          <w:ilvl w:val="0"/>
          <w:numId w:val="1"/>
        </w:numPr>
        <w:ind w:left="723"/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Komisjon hindab projekti vahe- ja lõpptulemusi. </w:t>
      </w:r>
      <w:r w:rsidRPr="00C14FA9">
        <w:rPr>
          <w:rFonts w:asciiTheme="majorHAnsi" w:hAnsiTheme="majorHAnsi" w:cstheme="majorHAnsi"/>
          <w:color w:val="1F1F1F"/>
        </w:rPr>
        <w:t xml:space="preserve">Komisjon teeb </w:t>
      </w:r>
      <w:r w:rsidR="00BB6929">
        <w:rPr>
          <w:rFonts w:asciiTheme="majorHAnsi" w:hAnsiTheme="majorHAnsi" w:cstheme="majorHAnsi"/>
          <w:color w:val="1F1F1F"/>
        </w:rPr>
        <w:t xml:space="preserve">ETAGile </w:t>
      </w:r>
      <w:r w:rsidRPr="00C14FA9">
        <w:rPr>
          <w:rFonts w:asciiTheme="majorHAnsi" w:hAnsiTheme="majorHAnsi" w:cstheme="majorHAnsi"/>
          <w:color w:val="1F1F1F"/>
        </w:rPr>
        <w:t>ettepaneku:</w:t>
      </w:r>
    </w:p>
    <w:p w14:paraId="5B0EAA85" w14:textId="406F6A26" w:rsidR="00E777CE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kinnitada vahe- või lõpptulemused;</w:t>
      </w:r>
    </w:p>
    <w:p w14:paraId="63625700" w14:textId="3E368FF6" w:rsidR="00401182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anda tähtaeg vahe- või lõpptulemuste täiendamiseks või neis esinevate puuduste kõrvaldamiseks</w:t>
      </w:r>
      <w:r w:rsidR="00BB6929">
        <w:rPr>
          <w:rFonts w:asciiTheme="majorHAnsi" w:hAnsiTheme="majorHAnsi" w:cstheme="majorHAnsi"/>
          <w:color w:val="1F1F1F"/>
        </w:rPr>
        <w:t xml:space="preserve"> või</w:t>
      </w:r>
      <w:r w:rsidRPr="00C14FA9">
        <w:rPr>
          <w:rFonts w:asciiTheme="majorHAnsi" w:hAnsiTheme="majorHAnsi" w:cstheme="majorHAnsi"/>
          <w:color w:val="1F1F1F"/>
        </w:rPr>
        <w:t>;</w:t>
      </w:r>
    </w:p>
    <w:p w14:paraId="4B032882" w14:textId="1FFB47B8" w:rsidR="0075162B" w:rsidRPr="00C14FA9" w:rsidRDefault="00E777CE" w:rsidP="00C14FA9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>lükata vahe- või lõpptulemused tagasi.</w:t>
      </w:r>
    </w:p>
    <w:p w14:paraId="56F289E1" w14:textId="77777777" w:rsidR="0075162B" w:rsidRPr="00C14FA9" w:rsidRDefault="0075162B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12F271D6" w14:textId="64AF7EB6" w:rsidR="00E777CE" w:rsidRPr="00C14FA9" w:rsidRDefault="001463B1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  <w:color w:val="1F1F1F"/>
        </w:rPr>
      </w:pPr>
      <w:r>
        <w:rPr>
          <w:rFonts w:asciiTheme="majorHAnsi" w:hAnsiTheme="majorHAnsi" w:cstheme="majorHAnsi"/>
          <w:color w:val="1F1F1F"/>
        </w:rPr>
        <w:t>Komisjon teeb ettepaneku lükata v</w:t>
      </w:r>
      <w:r w:rsidR="00E777CE" w:rsidRPr="00C14FA9">
        <w:rPr>
          <w:rFonts w:asciiTheme="majorHAnsi" w:hAnsiTheme="majorHAnsi" w:cstheme="majorHAnsi"/>
          <w:color w:val="1F1F1F"/>
        </w:rPr>
        <w:t>ahe- või lõpptulemused tagasi juhul, kui:</w:t>
      </w:r>
    </w:p>
    <w:p w14:paraId="1E0F8806" w14:textId="77777777" w:rsidR="00401182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1. </w:t>
      </w:r>
      <w:r w:rsidR="00E777CE" w:rsidRPr="00C14FA9">
        <w:rPr>
          <w:rFonts w:asciiTheme="majorHAnsi" w:hAnsiTheme="majorHAnsi" w:cstheme="majorHAnsi"/>
          <w:color w:val="1F1F1F"/>
        </w:rPr>
        <w:t>toetuse saaja ei täiendanud neid ega kõrvaldanud puuduseid määratud tähtpäevaks;</w:t>
      </w:r>
    </w:p>
    <w:p w14:paraId="4B0E2F25" w14:textId="05FB270D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2. </w:t>
      </w:r>
      <w:r w:rsidR="00E777CE" w:rsidRPr="00C14FA9">
        <w:rPr>
          <w:rFonts w:asciiTheme="majorHAnsi" w:hAnsiTheme="majorHAnsi" w:cstheme="majorHAnsi"/>
          <w:color w:val="1F1F1F"/>
        </w:rPr>
        <w:t>vahe- või lõpptulemused ei ole kooskõlas projekti eesmärkidega;</w:t>
      </w:r>
    </w:p>
    <w:p w14:paraId="7A338DB5" w14:textId="0F15E2F6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3. </w:t>
      </w:r>
      <w:r w:rsidR="00E777CE" w:rsidRPr="00C14FA9">
        <w:rPr>
          <w:rFonts w:asciiTheme="majorHAnsi" w:hAnsiTheme="majorHAnsi" w:cstheme="majorHAnsi"/>
          <w:color w:val="1F1F1F"/>
        </w:rPr>
        <w:t>olulised etapid või ajakavas ette nähtud vahe- või lõpptulemused on saavutamata;</w:t>
      </w:r>
    </w:p>
    <w:p w14:paraId="26D04ED8" w14:textId="55B0A48C" w:rsidR="00E777CE" w:rsidRPr="00C14FA9" w:rsidRDefault="00401182" w:rsidP="00C14FA9">
      <w:pPr>
        <w:pStyle w:val="Default"/>
        <w:ind w:left="708"/>
        <w:jc w:val="both"/>
        <w:rPr>
          <w:rFonts w:asciiTheme="majorHAnsi" w:hAnsiTheme="majorHAnsi" w:cstheme="majorHAnsi"/>
          <w:color w:val="1F1F1F"/>
        </w:rPr>
      </w:pPr>
      <w:r w:rsidRPr="00C14FA9">
        <w:rPr>
          <w:rFonts w:asciiTheme="majorHAnsi" w:hAnsiTheme="majorHAnsi" w:cstheme="majorHAnsi"/>
          <w:color w:val="1F1F1F"/>
        </w:rPr>
        <w:t xml:space="preserve">4. </w:t>
      </w:r>
      <w:r w:rsidR="00E777CE" w:rsidRPr="00C14FA9">
        <w:rPr>
          <w:rFonts w:asciiTheme="majorHAnsi" w:hAnsiTheme="majorHAnsi" w:cstheme="majorHAnsi"/>
          <w:color w:val="1F1F1F"/>
        </w:rPr>
        <w:t>projekti elluviimisel on eksitud hea teadustava vastu.</w:t>
      </w:r>
    </w:p>
    <w:p w14:paraId="206D7223" w14:textId="77777777" w:rsidR="00E777CE" w:rsidRPr="00C14FA9" w:rsidRDefault="00E777CE" w:rsidP="00C14FA9">
      <w:pPr>
        <w:pStyle w:val="Default"/>
        <w:jc w:val="both"/>
        <w:rPr>
          <w:rFonts w:asciiTheme="majorHAnsi" w:hAnsiTheme="majorHAnsi" w:cstheme="majorHAnsi"/>
          <w:color w:val="1F1F1F"/>
        </w:rPr>
      </w:pPr>
    </w:p>
    <w:p w14:paraId="0F0DA2D2" w14:textId="11E50FA8" w:rsidR="1616D0A2" w:rsidRPr="00C14FA9" w:rsidRDefault="00431D3D" w:rsidP="00C14FA9">
      <w:pPr>
        <w:pStyle w:val="Defaul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14FA9">
        <w:rPr>
          <w:rFonts w:asciiTheme="majorHAnsi" w:hAnsiTheme="majorHAnsi" w:cstheme="majorHAnsi"/>
        </w:rPr>
        <w:t xml:space="preserve"> Ministeeriumi </w:t>
      </w:r>
      <w:r w:rsidRPr="00F22200">
        <w:rPr>
          <w:rFonts w:asciiTheme="majorHAnsi" w:hAnsiTheme="majorHAnsi" w:cstheme="majorHAnsi"/>
        </w:rPr>
        <w:t xml:space="preserve">ja ETAGi </w:t>
      </w:r>
      <w:r w:rsidR="008135D6">
        <w:rPr>
          <w:rFonts w:asciiTheme="majorHAnsi" w:hAnsiTheme="majorHAnsi" w:cstheme="majorHAnsi"/>
        </w:rPr>
        <w:t>esindajatest</w:t>
      </w:r>
      <w:r w:rsidR="008135D6" w:rsidRPr="00C14FA9">
        <w:rPr>
          <w:rFonts w:asciiTheme="majorHAnsi" w:hAnsiTheme="majorHAnsi" w:cstheme="majorHAnsi"/>
        </w:rPr>
        <w:t xml:space="preserve"> </w:t>
      </w:r>
      <w:r w:rsidRPr="00C14FA9">
        <w:rPr>
          <w:rFonts w:asciiTheme="majorHAnsi" w:hAnsiTheme="majorHAnsi" w:cstheme="majorHAnsi"/>
        </w:rPr>
        <w:t>komisjoni liikmetele ei maksta komisjoni töös osalemise eest tasu.</w:t>
      </w:r>
    </w:p>
    <w:sectPr w:rsidR="1616D0A2" w:rsidRPr="00C14FA9" w:rsidSect="001437DC">
      <w:footerReference w:type="default" r:id="rId10"/>
      <w:pgSz w:w="11906" w:h="16838"/>
      <w:pgMar w:top="97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F58D" w14:textId="77777777" w:rsidR="00AC0F13" w:rsidRDefault="00AC0F13" w:rsidP="00C14FA9">
      <w:pPr>
        <w:spacing w:after="0" w:line="240" w:lineRule="auto"/>
      </w:pPr>
      <w:r>
        <w:separator/>
      </w:r>
    </w:p>
  </w:endnote>
  <w:endnote w:type="continuationSeparator" w:id="0">
    <w:p w14:paraId="05480CF2" w14:textId="77777777" w:rsidR="00AC0F13" w:rsidRDefault="00AC0F13" w:rsidP="00C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82027"/>
      <w:docPartObj>
        <w:docPartGallery w:val="Page Numbers (Bottom of Page)"/>
        <w:docPartUnique/>
      </w:docPartObj>
    </w:sdtPr>
    <w:sdtContent>
      <w:p w14:paraId="799BC99D" w14:textId="3680BB23" w:rsidR="00C14FA9" w:rsidRDefault="00C14FA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04648" w14:textId="77777777" w:rsidR="00C14FA9" w:rsidRDefault="00C14F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2EF13" w14:textId="77777777" w:rsidR="00AC0F13" w:rsidRDefault="00AC0F13" w:rsidP="00C14FA9">
      <w:pPr>
        <w:spacing w:after="0" w:line="240" w:lineRule="auto"/>
      </w:pPr>
      <w:r>
        <w:separator/>
      </w:r>
    </w:p>
  </w:footnote>
  <w:footnote w:type="continuationSeparator" w:id="0">
    <w:p w14:paraId="008EA4E6" w14:textId="77777777" w:rsidR="00AC0F13" w:rsidRDefault="00AC0F13" w:rsidP="00C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50DA"/>
    <w:multiLevelType w:val="hybridMultilevel"/>
    <w:tmpl w:val="2AC67A9C"/>
    <w:lvl w:ilvl="0" w:tplc="7DA6DC7C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3" w:hanging="360"/>
      </w:pPr>
    </w:lvl>
    <w:lvl w:ilvl="2" w:tplc="0425001B" w:tentative="1">
      <w:start w:val="1"/>
      <w:numFmt w:val="lowerRoman"/>
      <w:lvlText w:val="%3."/>
      <w:lvlJc w:val="right"/>
      <w:pPr>
        <w:ind w:left="2523" w:hanging="180"/>
      </w:pPr>
    </w:lvl>
    <w:lvl w:ilvl="3" w:tplc="0425000F" w:tentative="1">
      <w:start w:val="1"/>
      <w:numFmt w:val="decimal"/>
      <w:lvlText w:val="%4."/>
      <w:lvlJc w:val="left"/>
      <w:pPr>
        <w:ind w:left="3243" w:hanging="360"/>
      </w:pPr>
    </w:lvl>
    <w:lvl w:ilvl="4" w:tplc="04250019" w:tentative="1">
      <w:start w:val="1"/>
      <w:numFmt w:val="lowerLetter"/>
      <w:lvlText w:val="%5."/>
      <w:lvlJc w:val="left"/>
      <w:pPr>
        <w:ind w:left="3963" w:hanging="360"/>
      </w:pPr>
    </w:lvl>
    <w:lvl w:ilvl="5" w:tplc="0425001B" w:tentative="1">
      <w:start w:val="1"/>
      <w:numFmt w:val="lowerRoman"/>
      <w:lvlText w:val="%6."/>
      <w:lvlJc w:val="right"/>
      <w:pPr>
        <w:ind w:left="4683" w:hanging="180"/>
      </w:pPr>
    </w:lvl>
    <w:lvl w:ilvl="6" w:tplc="0425000F" w:tentative="1">
      <w:start w:val="1"/>
      <w:numFmt w:val="decimal"/>
      <w:lvlText w:val="%7."/>
      <w:lvlJc w:val="left"/>
      <w:pPr>
        <w:ind w:left="5403" w:hanging="360"/>
      </w:pPr>
    </w:lvl>
    <w:lvl w:ilvl="7" w:tplc="04250019" w:tentative="1">
      <w:start w:val="1"/>
      <w:numFmt w:val="lowerLetter"/>
      <w:lvlText w:val="%8."/>
      <w:lvlJc w:val="left"/>
      <w:pPr>
        <w:ind w:left="6123" w:hanging="360"/>
      </w:pPr>
    </w:lvl>
    <w:lvl w:ilvl="8" w:tplc="042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1B4904CD"/>
    <w:multiLevelType w:val="multilevel"/>
    <w:tmpl w:val="A15E3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870FA"/>
    <w:multiLevelType w:val="hybridMultilevel"/>
    <w:tmpl w:val="C38A0398"/>
    <w:lvl w:ilvl="0" w:tplc="A1EEB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A7A3D"/>
    <w:multiLevelType w:val="hybridMultilevel"/>
    <w:tmpl w:val="4B405428"/>
    <w:lvl w:ilvl="0" w:tplc="F05C84C6">
      <w:start w:val="2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210">
    <w:abstractNumId w:val="5"/>
  </w:num>
  <w:num w:numId="2" w16cid:durableId="1079407653">
    <w:abstractNumId w:val="4"/>
  </w:num>
  <w:num w:numId="3" w16cid:durableId="1756437147">
    <w:abstractNumId w:val="2"/>
  </w:num>
  <w:num w:numId="4" w16cid:durableId="34409056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254631115">
    <w:abstractNumId w:val="3"/>
  </w:num>
  <w:num w:numId="6" w16cid:durableId="198680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jI2NDC3MDI3NjRR0lEKTi0uzszPAykwrAUAEMSmzywAAAA="/>
  </w:docVars>
  <w:rsids>
    <w:rsidRoot w:val="00F567C0"/>
    <w:rsid w:val="00006B8D"/>
    <w:rsid w:val="000107FD"/>
    <w:rsid w:val="00010EB7"/>
    <w:rsid w:val="00047C87"/>
    <w:rsid w:val="0005310B"/>
    <w:rsid w:val="00072A7F"/>
    <w:rsid w:val="00097B4C"/>
    <w:rsid w:val="000B6FA4"/>
    <w:rsid w:val="000C0D80"/>
    <w:rsid w:val="000C18D6"/>
    <w:rsid w:val="000E09ED"/>
    <w:rsid w:val="00100ED7"/>
    <w:rsid w:val="0010123D"/>
    <w:rsid w:val="001022AB"/>
    <w:rsid w:val="001437DC"/>
    <w:rsid w:val="001463B1"/>
    <w:rsid w:val="0015713C"/>
    <w:rsid w:val="00157C68"/>
    <w:rsid w:val="00163C1B"/>
    <w:rsid w:val="00172B8A"/>
    <w:rsid w:val="00173869"/>
    <w:rsid w:val="0018119D"/>
    <w:rsid w:val="001A445E"/>
    <w:rsid w:val="001A5FDC"/>
    <w:rsid w:val="001F6D75"/>
    <w:rsid w:val="002065FF"/>
    <w:rsid w:val="00222226"/>
    <w:rsid w:val="002248D7"/>
    <w:rsid w:val="002262DE"/>
    <w:rsid w:val="00230564"/>
    <w:rsid w:val="002456CB"/>
    <w:rsid w:val="0024591E"/>
    <w:rsid w:val="00253D48"/>
    <w:rsid w:val="00266F75"/>
    <w:rsid w:val="0026722E"/>
    <w:rsid w:val="002721C9"/>
    <w:rsid w:val="00293D05"/>
    <w:rsid w:val="00295C22"/>
    <w:rsid w:val="002A0031"/>
    <w:rsid w:val="002A33DC"/>
    <w:rsid w:val="002A4AFA"/>
    <w:rsid w:val="002B077A"/>
    <w:rsid w:val="002B2990"/>
    <w:rsid w:val="002B4345"/>
    <w:rsid w:val="0030009D"/>
    <w:rsid w:val="0030577C"/>
    <w:rsid w:val="0034299D"/>
    <w:rsid w:val="0037098D"/>
    <w:rsid w:val="00392B86"/>
    <w:rsid w:val="003B150A"/>
    <w:rsid w:val="003C09FA"/>
    <w:rsid w:val="003C62DA"/>
    <w:rsid w:val="003D077C"/>
    <w:rsid w:val="003D64B1"/>
    <w:rsid w:val="00401182"/>
    <w:rsid w:val="00431D3D"/>
    <w:rsid w:val="0044108F"/>
    <w:rsid w:val="00456D4C"/>
    <w:rsid w:val="00463EA3"/>
    <w:rsid w:val="00465556"/>
    <w:rsid w:val="004659A4"/>
    <w:rsid w:val="00473640"/>
    <w:rsid w:val="00485253"/>
    <w:rsid w:val="004B74C0"/>
    <w:rsid w:val="004F6AE4"/>
    <w:rsid w:val="005044E1"/>
    <w:rsid w:val="005058AE"/>
    <w:rsid w:val="005248A5"/>
    <w:rsid w:val="0053270F"/>
    <w:rsid w:val="00553615"/>
    <w:rsid w:val="0055605B"/>
    <w:rsid w:val="005702F6"/>
    <w:rsid w:val="00597249"/>
    <w:rsid w:val="005B12BD"/>
    <w:rsid w:val="00602EB3"/>
    <w:rsid w:val="00611ED9"/>
    <w:rsid w:val="00616B28"/>
    <w:rsid w:val="00625672"/>
    <w:rsid w:val="006D0568"/>
    <w:rsid w:val="006D361E"/>
    <w:rsid w:val="006D7DB2"/>
    <w:rsid w:val="006F3442"/>
    <w:rsid w:val="00706D5E"/>
    <w:rsid w:val="00745514"/>
    <w:rsid w:val="007502E9"/>
    <w:rsid w:val="00750DC7"/>
    <w:rsid w:val="0075162B"/>
    <w:rsid w:val="007A1580"/>
    <w:rsid w:val="007C09E2"/>
    <w:rsid w:val="007D10D0"/>
    <w:rsid w:val="007F622B"/>
    <w:rsid w:val="00801E91"/>
    <w:rsid w:val="00804C31"/>
    <w:rsid w:val="008135D6"/>
    <w:rsid w:val="008379F4"/>
    <w:rsid w:val="00855041"/>
    <w:rsid w:val="00863964"/>
    <w:rsid w:val="00875A11"/>
    <w:rsid w:val="00892328"/>
    <w:rsid w:val="00897F96"/>
    <w:rsid w:val="008A106C"/>
    <w:rsid w:val="008A1FAC"/>
    <w:rsid w:val="008B2ECF"/>
    <w:rsid w:val="008C373C"/>
    <w:rsid w:val="008C6A58"/>
    <w:rsid w:val="008E12E3"/>
    <w:rsid w:val="00902FCD"/>
    <w:rsid w:val="00910113"/>
    <w:rsid w:val="00920004"/>
    <w:rsid w:val="00925650"/>
    <w:rsid w:val="009315CB"/>
    <w:rsid w:val="00967AC7"/>
    <w:rsid w:val="009B3547"/>
    <w:rsid w:val="009B7D61"/>
    <w:rsid w:val="009C5F76"/>
    <w:rsid w:val="009D07E0"/>
    <w:rsid w:val="009F1121"/>
    <w:rsid w:val="00A13FED"/>
    <w:rsid w:val="00A25B28"/>
    <w:rsid w:val="00A26ECE"/>
    <w:rsid w:val="00A53986"/>
    <w:rsid w:val="00A8357F"/>
    <w:rsid w:val="00A92F5C"/>
    <w:rsid w:val="00AB5026"/>
    <w:rsid w:val="00AC0F13"/>
    <w:rsid w:val="00AC5EDA"/>
    <w:rsid w:val="00AE2948"/>
    <w:rsid w:val="00B02442"/>
    <w:rsid w:val="00B222C5"/>
    <w:rsid w:val="00B34B73"/>
    <w:rsid w:val="00B44810"/>
    <w:rsid w:val="00B614BC"/>
    <w:rsid w:val="00B73CFA"/>
    <w:rsid w:val="00B95580"/>
    <w:rsid w:val="00BA6755"/>
    <w:rsid w:val="00BA68A7"/>
    <w:rsid w:val="00BB6929"/>
    <w:rsid w:val="00BD490C"/>
    <w:rsid w:val="00BF31E4"/>
    <w:rsid w:val="00C02ACF"/>
    <w:rsid w:val="00C05190"/>
    <w:rsid w:val="00C14FA9"/>
    <w:rsid w:val="00C16216"/>
    <w:rsid w:val="00C3455D"/>
    <w:rsid w:val="00C427A3"/>
    <w:rsid w:val="00C44EC6"/>
    <w:rsid w:val="00C47334"/>
    <w:rsid w:val="00C74F6D"/>
    <w:rsid w:val="00C82CAA"/>
    <w:rsid w:val="00C93090"/>
    <w:rsid w:val="00C937C5"/>
    <w:rsid w:val="00C949DF"/>
    <w:rsid w:val="00CA4748"/>
    <w:rsid w:val="00CC621E"/>
    <w:rsid w:val="00CF7608"/>
    <w:rsid w:val="00D00DF2"/>
    <w:rsid w:val="00D131F8"/>
    <w:rsid w:val="00D50AB9"/>
    <w:rsid w:val="00D54470"/>
    <w:rsid w:val="00D66049"/>
    <w:rsid w:val="00DB6A8F"/>
    <w:rsid w:val="00DC0CA2"/>
    <w:rsid w:val="00DC28F8"/>
    <w:rsid w:val="00DD5B02"/>
    <w:rsid w:val="00DE4942"/>
    <w:rsid w:val="00E10E43"/>
    <w:rsid w:val="00E1504C"/>
    <w:rsid w:val="00E507EE"/>
    <w:rsid w:val="00E70FDE"/>
    <w:rsid w:val="00E777CE"/>
    <w:rsid w:val="00E8264B"/>
    <w:rsid w:val="00E84D49"/>
    <w:rsid w:val="00EC4196"/>
    <w:rsid w:val="00ED06D1"/>
    <w:rsid w:val="00ED6C64"/>
    <w:rsid w:val="00EF093A"/>
    <w:rsid w:val="00F11A66"/>
    <w:rsid w:val="00F17E5C"/>
    <w:rsid w:val="00F2141C"/>
    <w:rsid w:val="00F22200"/>
    <w:rsid w:val="00F31238"/>
    <w:rsid w:val="00F47464"/>
    <w:rsid w:val="00F5309A"/>
    <w:rsid w:val="00F567C0"/>
    <w:rsid w:val="00F6288D"/>
    <w:rsid w:val="00F636CE"/>
    <w:rsid w:val="00F769B3"/>
    <w:rsid w:val="00F83028"/>
    <w:rsid w:val="00F94796"/>
    <w:rsid w:val="00FC5229"/>
    <w:rsid w:val="00FC6F0D"/>
    <w:rsid w:val="00FD00AD"/>
    <w:rsid w:val="00FD5C19"/>
    <w:rsid w:val="00FE256E"/>
    <w:rsid w:val="02DF241C"/>
    <w:rsid w:val="05ADEBDF"/>
    <w:rsid w:val="0C15F681"/>
    <w:rsid w:val="0E307BBD"/>
    <w:rsid w:val="0F4ABBBA"/>
    <w:rsid w:val="14245514"/>
    <w:rsid w:val="1616D0A2"/>
    <w:rsid w:val="1A11661B"/>
    <w:rsid w:val="1C44A00E"/>
    <w:rsid w:val="1C790A71"/>
    <w:rsid w:val="1F36AA0E"/>
    <w:rsid w:val="214801A5"/>
    <w:rsid w:val="2F1C1AA9"/>
    <w:rsid w:val="36E9753E"/>
    <w:rsid w:val="3A1A05A1"/>
    <w:rsid w:val="3DD369AF"/>
    <w:rsid w:val="40CE7002"/>
    <w:rsid w:val="41E6497B"/>
    <w:rsid w:val="42580319"/>
    <w:rsid w:val="4879A760"/>
    <w:rsid w:val="49B3B541"/>
    <w:rsid w:val="50C1D1AC"/>
    <w:rsid w:val="55805797"/>
    <w:rsid w:val="56CE9B77"/>
    <w:rsid w:val="5A96CB23"/>
    <w:rsid w:val="5F2035B5"/>
    <w:rsid w:val="6695E7E0"/>
    <w:rsid w:val="69C88224"/>
    <w:rsid w:val="6EB7B2E3"/>
    <w:rsid w:val="7102580F"/>
    <w:rsid w:val="77AF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NumberingSymbols">
    <w:name w:val="Numbering Symbols"/>
    <w:rsid w:val="00392B86"/>
  </w:style>
  <w:style w:type="paragraph" w:customStyle="1" w:styleId="Default">
    <w:name w:val="Default"/>
    <w:rsid w:val="006D05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14FA9"/>
  </w:style>
  <w:style w:type="paragraph" w:styleId="Jalus">
    <w:name w:val="footer"/>
    <w:basedOn w:val="Normaallaad"/>
    <w:link w:val="JalusMrk"/>
    <w:uiPriority w:val="99"/>
    <w:unhideWhenUsed/>
    <w:rsid w:val="00C1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1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4" ma:contentTypeDescription="Create a new document." ma:contentTypeScope="" ma:versionID="27b29a3981fc49fcdf0af367d0d6bb6d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55216E14-96F0-4998-951B-66739959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83FBB-EA42-4D42-9340-C59357A4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25209-4A1A-4857-A848-C95431FD7453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Komisjoni töökord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Komisjoni tookord_muudatus_kavand.docx</dc:title>
  <dc:subject/>
  <dc:creator>Indrek Heinla</dc:creator>
  <dc:description/>
  <cp:lastModifiedBy>Astrid Liira</cp:lastModifiedBy>
  <cp:revision>8</cp:revision>
  <cp:lastPrinted>2025-09-05T06:41:00Z</cp:lastPrinted>
  <dcterms:created xsi:type="dcterms:W3CDTF">2025-09-12T07:48:00Z</dcterms:created>
  <dcterms:modified xsi:type="dcterms:W3CDTF">2025-09-16T06:39:00Z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2024-06-26T07:09:47Z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18424435-66c1-4f46-abd9-c6c3ae0778e1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0x010100A8A9530149E6D647995539E7A0B89E3B</vt:lpwstr>
  </property>
  <property fmtid="{D5CDD505-2E9C-101B-9397-08002B2CF9AE}" pid="10" name="MediaServiceImageTags">
    <vt:lpwstr/>
  </property>
</Properties>
</file>